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13" w:rsidRDefault="000F4013" w:rsidP="000F4013">
      <w:pPr>
        <w:pStyle w:val="Heading2"/>
        <w:spacing w:line="360" w:lineRule="auto"/>
        <w:rPr>
          <w:rtl/>
          <w:lang w:eastAsia="en-US"/>
        </w:rPr>
      </w:pPr>
      <w:bookmarkStart w:id="0" w:name="_GoBack"/>
      <w:bookmarkEnd w:id="0"/>
      <w:r>
        <w:rPr>
          <w:rFonts w:hint="cs"/>
          <w:rtl/>
          <w:lang w:eastAsia="en-US"/>
        </w:rPr>
        <w:t>סיפור על ר' יהושע ורבן גמליאל בבבלי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>מעשה בתלמיד אחד שבא לפני רבי יהושע,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לו: תפלת ערבית רשות או חובה? אמר ליה: רשות.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בא לפני רבן גמליאל, אמר לו: תפלת ערבית רשות או חובה? אמר לו: חובה.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לו: והלא רבי יהושע אמר לי רשות!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>אמר לו: המתן עד שיכנסו בעלי תריסין לבית המדרש. כשנכנסו בעלי</w:t>
      </w:r>
      <w:r>
        <w:t xml:space="preserve"> </w:t>
      </w:r>
      <w:r>
        <w:rPr>
          <w:rtl/>
        </w:rPr>
        <w:t xml:space="preserve">תריסין,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עמד השואל ושאל: תפלת ערבית רשות או חובה? אמר לו רבן גמליאל: חובה.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להם רבן גמליאל לחכמים: כלום יש אדם שחולק בדבר זה?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ליה רבי יהושע: לאו.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לו: והלא משמך אמרו לי רשות!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ליה: יהושע, עמוד על רגליך ויעידו בך!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עמד רבי יהושע על רגליו ואמר: אלמלא אני חי והוא מת - יכול החי להכחיש את המת, ועכשיו שאני חי והוא חי - היאך יכול החי להכחיש את החי? </w:t>
      </w:r>
    </w:p>
    <w:p w:rsidR="000F4013" w:rsidRDefault="000F4013" w:rsidP="000F4013">
      <w:pPr>
        <w:bidi/>
        <w:spacing w:line="360" w:lineRule="auto"/>
      </w:pPr>
      <w:r>
        <w:rPr>
          <w:rtl/>
        </w:rPr>
        <w:t>היה רבן גמליאל יושב ודורש, ורבי יהושע עומד על רגליו, עד שרננו כל העם ואמרו לחוצפית התורגמן: עמוד! ועמד</w:t>
      </w:r>
      <w:r>
        <w:t xml:space="preserve">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אמרי: עד כמה נצעריה וניזיל? בראש השנה אשתקד צעריה, בבכורות במעשה דרבי צדוק צעריה, הכא נמי צעריה, תא ונעבריה!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מאן נוקים ליה? נוקמיה לרבי יהושע? בעל מעשה הוא;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נוקמיה לרבי עקיבא? דילמא עניש ליה, דלית ליה זכות אבות;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אלא נוקמיה לרבי אלעזר בן עזריה, דהוא חכם והוא עשיר והוא עשירי לעזרא. </w:t>
      </w:r>
    </w:p>
    <w:p w:rsidR="000F4013" w:rsidRDefault="000F4013" w:rsidP="000F4013">
      <w:pPr>
        <w:bidi/>
        <w:spacing w:line="360" w:lineRule="auto"/>
        <w:ind w:firstLine="720"/>
        <w:rPr>
          <w:rtl/>
        </w:rPr>
      </w:pPr>
      <w:r>
        <w:rPr>
          <w:rtl/>
        </w:rPr>
        <w:t xml:space="preserve">הוא חכם - דאי מקשי ליה מפרק ליה, </w:t>
      </w:r>
    </w:p>
    <w:p w:rsidR="000F4013" w:rsidRDefault="000F4013" w:rsidP="000F4013">
      <w:pPr>
        <w:bidi/>
        <w:spacing w:line="360" w:lineRule="auto"/>
        <w:ind w:firstLine="720"/>
        <w:rPr>
          <w:rtl/>
        </w:rPr>
      </w:pPr>
      <w:r>
        <w:rPr>
          <w:rtl/>
        </w:rPr>
        <w:t xml:space="preserve">והוא עשיר - דאי אית ליה לפלוחי לבי קיסר אף הוא אזל ופלח, </w:t>
      </w:r>
    </w:p>
    <w:p w:rsidR="000F4013" w:rsidRDefault="000F4013" w:rsidP="000F4013">
      <w:pPr>
        <w:bidi/>
        <w:spacing w:line="360" w:lineRule="auto"/>
        <w:ind w:firstLine="720"/>
        <w:rPr>
          <w:rtl/>
        </w:rPr>
      </w:pPr>
      <w:r>
        <w:rPr>
          <w:rtl/>
        </w:rPr>
        <w:t xml:space="preserve">והוא עשירי לעזרא - דאית ליה זכות אבות ולא מצי עניש ליה.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אתו ואמרו ליה: ניחא ליה למר דליהוי ריש מתיבתא?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להו: איזיל ואימליך באינשי ביתי. אזל ואמליך בדביתהו.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>אמרה ליה</w:t>
      </w:r>
      <w:r>
        <w:t>:</w:t>
      </w:r>
      <w:r>
        <w:rPr>
          <w:rFonts w:hint="cs"/>
          <w:rtl/>
        </w:rPr>
        <w:t xml:space="preserve"> </w:t>
      </w:r>
      <w:r>
        <w:rPr>
          <w:rtl/>
        </w:rPr>
        <w:t xml:space="preserve">דלמא מעברין לך?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לה: [לשתמש אינש] יומא חדא בכסא דמוקרא ולמחר ליתבר.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אמרה ליה: לית לך חיורתא.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ההוא יומא בר תמני סרי שני הוה, אתרחיש ליה ניסא ואהדרו ליה תמני סרי דרי חיורתא. </w:t>
      </w:r>
    </w:p>
    <w:p w:rsidR="000F4013" w:rsidRDefault="000F4013" w:rsidP="000F4013">
      <w:pPr>
        <w:bidi/>
        <w:spacing w:line="360" w:lineRule="auto"/>
      </w:pPr>
      <w:r>
        <w:rPr>
          <w:rtl/>
        </w:rPr>
        <w:t>היינו דקאמר רבי אלעזר בן עזריה: הרי אני כבן שבעים שנה, ולא בן שבעים שנה</w:t>
      </w:r>
      <w:r>
        <w:t xml:space="preserve">. </w:t>
      </w:r>
    </w:p>
    <w:p w:rsidR="000F4013" w:rsidRDefault="000F4013" w:rsidP="000F4013">
      <w:pPr>
        <w:bidi/>
        <w:spacing w:line="360" w:lineRule="auto"/>
      </w:pP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תנא; אותו היום סלקוהו לשומר הפתח ונתנה להם רשות לתלמידים ליכנס. שהיה רבן גמליאל מכריז ואומר: כל תלמיד שאין תוכו כברו - לא יכנס לבית המדרש.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ההוא יומא אתוספו כמה ספסלי.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>אמר רבי יוחנן: פליגי בה אבא יוסף בן דוסתאי ורבנן, חד אמר: אתוספו ארבע מאה ספסלי; וחד אמר:</w:t>
      </w:r>
      <w:r>
        <w:t xml:space="preserve"> </w:t>
      </w:r>
      <w:r>
        <w:rPr>
          <w:rtl/>
        </w:rPr>
        <w:t xml:space="preserve">שבע מאה ספסלי. </w:t>
      </w:r>
    </w:p>
    <w:p w:rsidR="000F4013" w:rsidRDefault="000F4013" w:rsidP="000F4013">
      <w:pPr>
        <w:bidi/>
        <w:spacing w:line="360" w:lineRule="auto"/>
      </w:pPr>
      <w:r>
        <w:rPr>
          <w:rtl/>
        </w:rPr>
        <w:t>הוה קא חלשא דעתיה דרבן גמליאל, אמר: דלמא חס ושלום מנעתי תורה מישראל. אחזו ליה בחלמיה חצבי חיורי דמליין קטמא. ולא היא, ההיא ליתובי דעתיה הוא דאחזו ליה</w:t>
      </w:r>
      <w:r>
        <w:t xml:space="preserve">. </w:t>
      </w:r>
    </w:p>
    <w:p w:rsidR="000F4013" w:rsidRDefault="000F4013" w:rsidP="000F4013">
      <w:pPr>
        <w:bidi/>
        <w:spacing w:line="360" w:lineRule="auto"/>
      </w:pP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 xml:space="preserve">תנא: עדיות בו ביום נשנית, וכל היכא דאמרינן בו ביום - ההוא יומא הוה. ולא היתה הלכה שהיתה תלויה בבית המדרש שלא פירשוה.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ואף רבן גמליאל לא מנע עצמו מבית המדרש אפילו שעה אחת, דתנן: בו ביום בא יהודה גר עמוני לפניהם בבית המדרש,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להם: מה אני לבא בקהל?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 רבן גמליאל: אסור אתה לבא בקהל;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 רבי יהושע: מותר אתה לבא בקהל.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>אמר לו רבן גמליאל: והלא כבר נאמר</w:t>
      </w:r>
      <w:r>
        <w:rPr>
          <w:rFonts w:hint="cs"/>
          <w:rtl/>
        </w:rPr>
        <w:t>: (</w:t>
      </w:r>
      <w:r>
        <w:rPr>
          <w:rtl/>
        </w:rPr>
        <w:t>דברים כ"ג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לא יבא עמוני ומואבי בקהל ה'!</w:t>
      </w:r>
      <w:r>
        <w:rPr>
          <w:rFonts w:hint="cs"/>
          <w:rtl/>
        </w:rPr>
        <w:t>"</w:t>
      </w:r>
      <w:r>
        <w:rPr>
          <w:rtl/>
        </w:rPr>
        <w:t xml:space="preserve">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 רבי יהושע: וכי עמון ומואב במקומן הן יושבין? כבר עלה סנחריב מלך אשור ובלבל את כל האומות, שנאמר: </w:t>
      </w:r>
      <w:r>
        <w:rPr>
          <w:rFonts w:hint="cs"/>
          <w:rtl/>
        </w:rPr>
        <w:t>(</w:t>
      </w:r>
      <w:r>
        <w:rPr>
          <w:rtl/>
        </w:rPr>
        <w:t>ישעיהו י'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ואסיר גבלות עמים ועתודותיהם שושתי ואוריד כאביר יושבים</w:t>
      </w:r>
      <w:r>
        <w:rPr>
          <w:rFonts w:hint="cs"/>
          <w:rtl/>
        </w:rPr>
        <w:t>"</w:t>
      </w:r>
      <w:r>
        <w:rPr>
          <w:rtl/>
        </w:rPr>
        <w:t xml:space="preserve">, וכל דפריש - מרובא פריש.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 רבן גמליאל: והלא כבר נאמר: </w:t>
      </w:r>
      <w:r>
        <w:rPr>
          <w:rFonts w:hint="cs"/>
          <w:rtl/>
        </w:rPr>
        <w:t>(</w:t>
      </w:r>
      <w:r>
        <w:rPr>
          <w:rtl/>
        </w:rPr>
        <w:t>ירמיהו מ"ט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ואחרי כן אשיב את שבות בני עמון נאם ה'</w:t>
      </w:r>
      <w:r>
        <w:rPr>
          <w:rFonts w:hint="cs"/>
          <w:rtl/>
        </w:rPr>
        <w:t>"</w:t>
      </w:r>
      <w:r>
        <w:rPr>
          <w:rtl/>
        </w:rPr>
        <w:t xml:space="preserve">- וכבר שבו.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 רבי יהושע: והלא כבר נאמר: </w:t>
      </w:r>
      <w:r>
        <w:rPr>
          <w:rFonts w:hint="cs"/>
          <w:rtl/>
        </w:rPr>
        <w:t>(</w:t>
      </w:r>
      <w:r>
        <w:rPr>
          <w:rtl/>
        </w:rPr>
        <w:t>עמוס ט</w:t>
      </w:r>
      <w:r>
        <w:rPr>
          <w:rFonts w:hint="cs"/>
          <w:rtl/>
        </w:rPr>
        <w:t>)</w:t>
      </w:r>
      <w:r>
        <w:rPr>
          <w:rtl/>
        </w:rPr>
        <w:t xml:space="preserve"> ושבתי את שבות עמי ישראל - ועדיין לא שבו. </w:t>
      </w:r>
    </w:p>
    <w:p w:rsidR="000F4013" w:rsidRDefault="000F4013" w:rsidP="000F4013">
      <w:pPr>
        <w:bidi/>
        <w:spacing w:line="360" w:lineRule="auto"/>
      </w:pPr>
      <w:r>
        <w:rPr>
          <w:rtl/>
        </w:rPr>
        <w:t>מיד התירוהו לבא בקהל</w:t>
      </w:r>
      <w:r>
        <w:t xml:space="preserve">. </w:t>
      </w:r>
    </w:p>
    <w:p w:rsidR="000F4013" w:rsidRDefault="000F4013" w:rsidP="000F4013">
      <w:pPr>
        <w:bidi/>
        <w:spacing w:line="360" w:lineRule="auto"/>
      </w:pP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רבן גמליאל: הואיל והכי הוה, איזיל ואפייסיה לרבי יהושע.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כי מטא לביתיה, חזינהו לאשיתא דביתיה דמשחרן.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לו: מכותלי ביתך אתה ניכר שפחמי אתה.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לו: אוי לו לדור שאתה פרנסו, שאי אתה יודע בצערן של תלמידי חכמים במה הם מתפרנסים ובמה הם נזונים.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>אמר לו: נעניתי</w:t>
      </w:r>
      <w:r>
        <w:t xml:space="preserve"> </w:t>
      </w:r>
      <w:r>
        <w:rPr>
          <w:rtl/>
        </w:rPr>
        <w:t xml:space="preserve">לך, מחול לי! לא אשגח ביה.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עשה בשביל כבוד אבא! </w:t>
      </w:r>
      <w:r>
        <w:rPr>
          <w:rFonts w:hint="cs"/>
          <w:rtl/>
        </w:rPr>
        <w:t xml:space="preserve"> </w:t>
      </w:r>
      <w:r>
        <w:rPr>
          <w:rtl/>
        </w:rPr>
        <w:t xml:space="preserve">פייס.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אמרו: מאן ניזיל ולימא להו לרבנן?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להו ההוא כובס: אנא אזילנא.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שלח להו רבי יהושע לבי מדרשא: מאן דלביש מדא ילבש מדא, ומאן דלא לביש מדא יימר ליה למאן דלביש מדא שלח מדך ואנא אלבשיה?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>אמר להו רבי עקיבא לרבנן</w:t>
      </w:r>
      <w:r>
        <w:t xml:space="preserve">: </w:t>
      </w:r>
      <w:r>
        <w:rPr>
          <w:rtl/>
        </w:rPr>
        <w:t xml:space="preserve">טרוקו גלי, דלא ליתו עבדי דרבן גמליאל ולצערו לרבנן.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רבי יהושע: מוטב דאיקום ואיזיל אנא לגבייהו.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אתא, טרף אבבא.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להו: מזה בן מזה יזה, ושאינו לא מזה ולא בן מזה יאמר למזה בן מזה: מימיך מי מערה ואפרך אפר מקלה?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 לו רבי עקיבא: רבי יהושע, נתפייסת? כלום עשינו אלא בשביל כבודך! למחר אני ואתה נשכים לפתחו.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אמרי: היכי נעביד? </w:t>
      </w:r>
    </w:p>
    <w:p w:rsidR="000F4013" w:rsidRDefault="000F4013" w:rsidP="000F4013">
      <w:pPr>
        <w:bidi/>
        <w:spacing w:line="360" w:lineRule="auto"/>
        <w:ind w:firstLine="720"/>
        <w:rPr>
          <w:rtl/>
        </w:rPr>
      </w:pPr>
      <w:r>
        <w:rPr>
          <w:rtl/>
        </w:rPr>
        <w:t xml:space="preserve">נעבריה - גמירי: מעלין בקדש ואין מורידין! </w:t>
      </w:r>
    </w:p>
    <w:p w:rsidR="000F4013" w:rsidRDefault="000F4013" w:rsidP="000F4013">
      <w:pPr>
        <w:bidi/>
        <w:spacing w:line="360" w:lineRule="auto"/>
        <w:ind w:firstLine="720"/>
        <w:rPr>
          <w:rtl/>
        </w:rPr>
      </w:pPr>
      <w:r>
        <w:rPr>
          <w:rtl/>
        </w:rPr>
        <w:t xml:space="preserve">נדרוש מר חדא שבתא ומר חדא שבתא - אתי לקנאויי! </w:t>
      </w:r>
    </w:p>
    <w:p w:rsidR="000F4013" w:rsidRDefault="000F4013" w:rsidP="000F4013">
      <w:pPr>
        <w:bidi/>
        <w:spacing w:line="360" w:lineRule="auto"/>
        <w:ind w:firstLine="720"/>
        <w:rPr>
          <w:rtl/>
        </w:rPr>
      </w:pPr>
      <w:r>
        <w:rPr>
          <w:rtl/>
        </w:rPr>
        <w:t xml:space="preserve">אלא: לדרוש רבן גמליאל תלתא שבתי, ורבי אלעזר בן עזריה חדא שבתא. </w:t>
      </w:r>
    </w:p>
    <w:p w:rsidR="000F4013" w:rsidRDefault="000F4013" w:rsidP="000F4013">
      <w:pPr>
        <w:bidi/>
        <w:spacing w:line="360" w:lineRule="auto"/>
        <w:rPr>
          <w:rtl/>
        </w:rPr>
      </w:pPr>
      <w:r>
        <w:rPr>
          <w:rtl/>
        </w:rPr>
        <w:t xml:space="preserve">והיינו דאמר מר: שבת של מי היתה - של רבי אלעזר בן עזריה היתה. </w:t>
      </w:r>
    </w:p>
    <w:p w:rsidR="000F4013" w:rsidRDefault="000F4013" w:rsidP="000F4013">
      <w:pPr>
        <w:bidi/>
        <w:spacing w:line="360" w:lineRule="auto"/>
      </w:pPr>
      <w:r>
        <w:rPr>
          <w:rtl/>
        </w:rPr>
        <w:t>ואותו תלמיד - רבי שמעון בן יוחאי הוה</w:t>
      </w:r>
      <w:r>
        <w:rPr>
          <w:rFonts w:hint="cs"/>
          <w:rtl/>
        </w:rPr>
        <w:t>.</w:t>
      </w:r>
      <w:r>
        <w:t xml:space="preserve"> </w:t>
      </w:r>
    </w:p>
    <w:p w:rsidR="000F4013" w:rsidRDefault="000F4013" w:rsidP="000F4013">
      <w:pPr>
        <w:bidi/>
        <w:spacing w:line="360" w:lineRule="auto"/>
      </w:pP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b/>
          <w:bCs/>
          <w:color w:val="000000"/>
          <w:sz w:val="24"/>
          <w:szCs w:val="24"/>
          <w:rtl/>
        </w:rPr>
      </w:pPr>
      <w:r>
        <w:rPr>
          <w:rFonts w:cs="David" w:hint="cs"/>
          <w:b/>
          <w:bCs/>
          <w:color w:val="000000"/>
          <w:sz w:val="24"/>
          <w:szCs w:val="24"/>
          <w:rtl/>
        </w:rPr>
        <w:lastRenderedPageBreak/>
        <w:t>ירושלמי ברכות פרק ד הלכה א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 w:hint="eastAsia"/>
          <w:color w:val="000000"/>
          <w:sz w:val="24"/>
          <w:szCs w:val="24"/>
          <w:rtl/>
        </w:rPr>
        <w:t>ומעשה</w:t>
      </w:r>
      <w:r>
        <w:rPr>
          <w:rFonts w:cs="David"/>
          <w:color w:val="000000"/>
          <w:sz w:val="24"/>
          <w:szCs w:val="24"/>
          <w:rtl/>
        </w:rPr>
        <w:t xml:space="preserve"> בתלמיד אחד שבא ושאל את רבי יהושע תפלת הערב מהו א"ל רשות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בא ושאל את ר"ג </w:t>
      </w:r>
      <w:r>
        <w:rPr>
          <w:rFonts w:cs="David" w:hint="eastAsia"/>
          <w:color w:val="000000"/>
          <w:sz w:val="24"/>
          <w:szCs w:val="24"/>
          <w:rtl/>
        </w:rPr>
        <w:t>תפלת</w:t>
      </w:r>
      <w:r>
        <w:rPr>
          <w:rFonts w:cs="David"/>
          <w:color w:val="000000"/>
          <w:sz w:val="24"/>
          <w:szCs w:val="24"/>
          <w:rtl/>
        </w:rPr>
        <w:t xml:space="preserve"> הערב מהו א"ל חובה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א"ל והא רבי יהושע אמר לי רשות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א"ל למחר כשאכנס לבית הוועד </w:t>
      </w:r>
      <w:r>
        <w:rPr>
          <w:rFonts w:cs="David" w:hint="eastAsia"/>
          <w:color w:val="000000"/>
          <w:sz w:val="24"/>
          <w:szCs w:val="24"/>
          <w:rtl/>
        </w:rPr>
        <w:t>עמוד</w:t>
      </w:r>
      <w:r>
        <w:rPr>
          <w:rFonts w:cs="David"/>
          <w:color w:val="000000"/>
          <w:sz w:val="24"/>
          <w:szCs w:val="24"/>
          <w:rtl/>
        </w:rPr>
        <w:t xml:space="preserve"> ושאל את ההלכה הזאת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למחר עמד אותו תלמיד ושאל את ר"ג תפלת הערב מהו א"ל חובה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 w:hint="eastAsia"/>
          <w:color w:val="000000"/>
          <w:sz w:val="24"/>
          <w:szCs w:val="24"/>
          <w:rtl/>
        </w:rPr>
        <w:t>א</w:t>
      </w:r>
      <w:r>
        <w:rPr>
          <w:rFonts w:cs="David"/>
          <w:color w:val="000000"/>
          <w:sz w:val="24"/>
          <w:szCs w:val="24"/>
          <w:rtl/>
        </w:rPr>
        <w:t xml:space="preserve">"ל והא ר' יהושע אמר לי רשות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>אמר ר"ג לר' יהושע את הוא אומר רשות</w:t>
      </w:r>
      <w:r>
        <w:rPr>
          <w:rFonts w:cs="David" w:hint="cs"/>
          <w:color w:val="000000"/>
          <w:sz w:val="24"/>
          <w:szCs w:val="24"/>
          <w:rtl/>
        </w:rPr>
        <w:t>?</w:t>
      </w:r>
      <w:r>
        <w:rPr>
          <w:rFonts w:cs="David"/>
          <w:color w:val="000000"/>
          <w:sz w:val="24"/>
          <w:szCs w:val="24"/>
          <w:rtl/>
        </w:rPr>
        <w:t xml:space="preserve"> א"ל לאו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א"ל עמוד </w:t>
      </w:r>
      <w:r>
        <w:rPr>
          <w:rFonts w:cs="David" w:hint="eastAsia"/>
          <w:color w:val="000000"/>
          <w:sz w:val="24"/>
          <w:szCs w:val="24"/>
          <w:rtl/>
        </w:rPr>
        <w:t>על</w:t>
      </w:r>
      <w:r>
        <w:rPr>
          <w:rFonts w:cs="David"/>
          <w:color w:val="000000"/>
          <w:sz w:val="24"/>
          <w:szCs w:val="24"/>
          <w:rtl/>
        </w:rPr>
        <w:t xml:space="preserve"> רגליך ויעידו בך והיה ר"ג יושב ודורש ורבי יהושע עומד על רגליו עד שריננו כל העם </w:t>
      </w:r>
      <w:r>
        <w:rPr>
          <w:rFonts w:cs="David" w:hint="eastAsia"/>
          <w:color w:val="000000"/>
          <w:sz w:val="24"/>
          <w:szCs w:val="24"/>
          <w:rtl/>
        </w:rPr>
        <w:t>ואמרו</w:t>
      </w:r>
      <w:r>
        <w:rPr>
          <w:rFonts w:cs="David"/>
          <w:color w:val="000000"/>
          <w:sz w:val="24"/>
          <w:szCs w:val="24"/>
          <w:rtl/>
        </w:rPr>
        <w:t xml:space="preserve"> לרבי חוצפית המתורגמן הפטר את העם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אמרו לרבי זינון החזן אמור התחיל ואמר </w:t>
      </w:r>
      <w:r>
        <w:rPr>
          <w:rFonts w:cs="David" w:hint="eastAsia"/>
          <w:color w:val="000000"/>
          <w:sz w:val="24"/>
          <w:szCs w:val="24"/>
          <w:rtl/>
        </w:rPr>
        <w:t>התחילו</w:t>
      </w:r>
      <w:r>
        <w:rPr>
          <w:rFonts w:cs="David"/>
          <w:color w:val="000000"/>
          <w:sz w:val="24"/>
          <w:szCs w:val="24"/>
          <w:rtl/>
        </w:rPr>
        <w:t xml:space="preserve"> כל העם ועמדו על רגליהם ואמר לו (נחום ג) כי על מי לא עברה רעתך תמיד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הלכו </w:t>
      </w:r>
      <w:r>
        <w:rPr>
          <w:rFonts w:cs="David" w:hint="eastAsia"/>
          <w:color w:val="000000"/>
          <w:sz w:val="24"/>
          <w:szCs w:val="24"/>
          <w:rtl/>
        </w:rPr>
        <w:t>ומינו</w:t>
      </w:r>
      <w:r>
        <w:rPr>
          <w:rFonts w:cs="David"/>
          <w:color w:val="000000"/>
          <w:sz w:val="24"/>
          <w:szCs w:val="24"/>
          <w:rtl/>
        </w:rPr>
        <w:t xml:space="preserve"> את ראב"ע בישיבה בן שש עשרה שנה ונתמלא כל ראשו שיבות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והיה ר"ע יושב ומצטער </w:t>
      </w:r>
      <w:r>
        <w:rPr>
          <w:rFonts w:cs="David" w:hint="eastAsia"/>
          <w:color w:val="000000"/>
          <w:sz w:val="24"/>
          <w:szCs w:val="24"/>
          <w:rtl/>
        </w:rPr>
        <w:t>ואמר</w:t>
      </w:r>
      <w:r>
        <w:rPr>
          <w:rFonts w:cs="David"/>
          <w:color w:val="000000"/>
          <w:sz w:val="24"/>
          <w:szCs w:val="24"/>
          <w:rtl/>
        </w:rPr>
        <w:t xml:space="preserve"> לא שהוא בן תורה יותר ממני אלא שהוא בן גדולים יותר ממני אשרי אדם שזכו לו </w:t>
      </w:r>
      <w:r>
        <w:rPr>
          <w:rFonts w:cs="David" w:hint="eastAsia"/>
          <w:color w:val="000000"/>
          <w:sz w:val="24"/>
          <w:szCs w:val="24"/>
          <w:rtl/>
        </w:rPr>
        <w:t>אבותיו</w:t>
      </w:r>
      <w:r>
        <w:rPr>
          <w:rFonts w:cs="David"/>
          <w:color w:val="000000"/>
          <w:sz w:val="24"/>
          <w:szCs w:val="24"/>
          <w:rtl/>
        </w:rPr>
        <w:t xml:space="preserve"> אשרי אדם שיש לו יתד במי להיתלות בה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וכי מה היתה יתידתו של ראב"ע שהיה דור </w:t>
      </w:r>
      <w:r>
        <w:rPr>
          <w:rFonts w:cs="David" w:hint="eastAsia"/>
          <w:color w:val="000000"/>
          <w:sz w:val="24"/>
          <w:szCs w:val="24"/>
          <w:rtl/>
        </w:rPr>
        <w:t>עשירי</w:t>
      </w:r>
      <w:r>
        <w:rPr>
          <w:rFonts w:cs="David"/>
          <w:color w:val="000000"/>
          <w:sz w:val="24"/>
          <w:szCs w:val="24"/>
          <w:rtl/>
        </w:rPr>
        <w:t xml:space="preserve"> לעזרא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>וכמה ספסלין היו שם</w:t>
      </w:r>
      <w:r>
        <w:rPr>
          <w:rFonts w:cs="David" w:hint="cs"/>
          <w:color w:val="000000"/>
          <w:sz w:val="24"/>
          <w:szCs w:val="24"/>
          <w:rtl/>
        </w:rPr>
        <w:t>?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</w:rPr>
      </w:pPr>
      <w:r>
        <w:rPr>
          <w:rFonts w:cs="David"/>
          <w:color w:val="000000"/>
          <w:sz w:val="24"/>
          <w:szCs w:val="24"/>
          <w:rtl/>
        </w:rPr>
        <w:t xml:space="preserve">רבי יעקב בר סיסי אמר שמונים ספסלין היו שם של </w:t>
      </w:r>
      <w:r>
        <w:rPr>
          <w:rFonts w:cs="David" w:hint="eastAsia"/>
          <w:color w:val="000000"/>
          <w:sz w:val="24"/>
          <w:szCs w:val="24"/>
          <w:rtl/>
        </w:rPr>
        <w:t>תלמידי</w:t>
      </w:r>
      <w:r>
        <w:rPr>
          <w:rFonts w:cs="David"/>
          <w:color w:val="000000"/>
          <w:sz w:val="24"/>
          <w:szCs w:val="24"/>
          <w:rtl/>
        </w:rPr>
        <w:t xml:space="preserve"> חכמים חוץ מן העומדים לאחורי הגדר רבי יוסי ב"ר אבון אמר שלש מאות היו שם </w:t>
      </w:r>
      <w:r>
        <w:rPr>
          <w:rFonts w:cs="David" w:hint="eastAsia"/>
          <w:color w:val="000000"/>
          <w:sz w:val="24"/>
          <w:szCs w:val="24"/>
          <w:rtl/>
        </w:rPr>
        <w:t>חוץ</w:t>
      </w:r>
      <w:r>
        <w:rPr>
          <w:rFonts w:cs="David"/>
          <w:color w:val="000000"/>
          <w:sz w:val="24"/>
          <w:szCs w:val="24"/>
          <w:rtl/>
        </w:rPr>
        <w:t xml:space="preserve"> מן העומדים לאחורי הגדר כיי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דתנינן תמן ביום שהושיבו את ראב"ע בישיבה תמן </w:t>
      </w:r>
      <w:r>
        <w:rPr>
          <w:rFonts w:cs="David" w:hint="eastAsia"/>
          <w:color w:val="000000"/>
          <w:sz w:val="24"/>
          <w:szCs w:val="24"/>
          <w:rtl/>
        </w:rPr>
        <w:t>תנינן</w:t>
      </w:r>
      <w:r>
        <w:rPr>
          <w:rFonts w:cs="David"/>
          <w:color w:val="000000"/>
          <w:sz w:val="24"/>
          <w:szCs w:val="24"/>
          <w:rtl/>
        </w:rPr>
        <w:t xml:space="preserve">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זה מדרש דרש ראב"ע לפני חכמים בכרם ביבנה וכי כרם היה שם אלא אלו תלמידי </w:t>
      </w:r>
      <w:r>
        <w:rPr>
          <w:rFonts w:cs="David" w:hint="eastAsia"/>
          <w:color w:val="000000"/>
          <w:sz w:val="24"/>
          <w:szCs w:val="24"/>
          <w:rtl/>
        </w:rPr>
        <w:t>חכמים</w:t>
      </w:r>
      <w:r>
        <w:rPr>
          <w:rFonts w:cs="David"/>
          <w:color w:val="000000"/>
          <w:sz w:val="24"/>
          <w:szCs w:val="24"/>
          <w:rtl/>
        </w:rPr>
        <w:t xml:space="preserve"> שהיו עשוין שורות שורות ככרם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מיד הלך לו ר"ג אצל כל אחד ואחד לפייסו בביתו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 w:hint="eastAsia"/>
          <w:color w:val="000000"/>
          <w:sz w:val="24"/>
          <w:szCs w:val="24"/>
          <w:rtl/>
        </w:rPr>
        <w:t>אזל</w:t>
      </w:r>
      <w:r>
        <w:rPr>
          <w:rFonts w:cs="David"/>
          <w:color w:val="000000"/>
          <w:sz w:val="24"/>
          <w:szCs w:val="24"/>
          <w:rtl/>
        </w:rPr>
        <w:t xml:space="preserve"> גבי רבי יהושע אשכחיה יתיב עביד מחטין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א"ל אילין את חיי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א"ל ועד כדון את בעי </w:t>
      </w:r>
      <w:r>
        <w:rPr>
          <w:rFonts w:cs="David" w:hint="eastAsia"/>
          <w:color w:val="000000"/>
          <w:sz w:val="24"/>
          <w:szCs w:val="24"/>
          <w:rtl/>
        </w:rPr>
        <w:t>מודעי</w:t>
      </w:r>
      <w:r>
        <w:rPr>
          <w:rFonts w:cs="David"/>
          <w:color w:val="000000"/>
          <w:sz w:val="24"/>
          <w:szCs w:val="24"/>
          <w:rtl/>
        </w:rPr>
        <w:t xml:space="preserve"> אוי לו לדור שאתה פרנסו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א"ל נעניתי לך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ושלחון גבי ראב"ע חד קצר ואית דמרין </w:t>
      </w:r>
      <w:r>
        <w:rPr>
          <w:rFonts w:cs="David" w:hint="eastAsia"/>
          <w:color w:val="000000"/>
          <w:sz w:val="24"/>
          <w:szCs w:val="24"/>
          <w:rtl/>
        </w:rPr>
        <w:t>ר</w:t>
      </w:r>
      <w:r>
        <w:rPr>
          <w:rFonts w:cs="David"/>
          <w:color w:val="000000"/>
          <w:sz w:val="24"/>
          <w:szCs w:val="24"/>
          <w:rtl/>
        </w:rPr>
        <w:t xml:space="preserve">"ע הוה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א"ל מי שהוא מזה בן מזה יזה מי שאינו לא מזה ולא בן מזה יימר למזה בן מזה </w:t>
      </w:r>
      <w:r>
        <w:rPr>
          <w:rFonts w:cs="David" w:hint="eastAsia"/>
          <w:color w:val="000000"/>
          <w:sz w:val="24"/>
          <w:szCs w:val="24"/>
          <w:rtl/>
        </w:rPr>
        <w:t>מימך</w:t>
      </w:r>
      <w:r>
        <w:rPr>
          <w:rFonts w:cs="David"/>
          <w:color w:val="000000"/>
          <w:sz w:val="24"/>
          <w:szCs w:val="24"/>
          <w:rtl/>
        </w:rPr>
        <w:t xml:space="preserve"> מי מערה ואפרך אפר מקלה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>א"ל נתרציתם</w:t>
      </w:r>
      <w:r>
        <w:rPr>
          <w:rFonts w:cs="David" w:hint="cs"/>
          <w:color w:val="000000"/>
          <w:sz w:val="24"/>
          <w:szCs w:val="24"/>
          <w:rtl/>
        </w:rPr>
        <w:t>,</w:t>
      </w:r>
      <w:r>
        <w:rPr>
          <w:rFonts w:cs="David"/>
          <w:color w:val="000000"/>
          <w:sz w:val="24"/>
          <w:szCs w:val="24"/>
          <w:rtl/>
        </w:rPr>
        <w:t xml:space="preserve"> אני ואתם נשכים לפתחו של ר"ג </w:t>
      </w:r>
    </w:p>
    <w:p w:rsidR="000F4013" w:rsidRDefault="000F4013" w:rsidP="000F4013">
      <w:pPr>
        <w:pStyle w:val="NormalWeb"/>
        <w:bidi/>
        <w:spacing w:before="0" w:beforeAutospacing="0" w:after="0" w:afterAutospacing="0" w:line="360" w:lineRule="auto"/>
        <w:ind w:right="360"/>
        <w:rPr>
          <w:rFonts w:cs="David"/>
          <w:color w:val="000000"/>
          <w:sz w:val="24"/>
          <w:szCs w:val="24"/>
          <w:rtl/>
        </w:rPr>
      </w:pPr>
      <w:r>
        <w:rPr>
          <w:rFonts w:cs="David"/>
          <w:color w:val="000000"/>
          <w:sz w:val="24"/>
          <w:szCs w:val="24"/>
          <w:rtl/>
        </w:rPr>
        <w:t xml:space="preserve">אעפ"כ לא </w:t>
      </w:r>
      <w:r>
        <w:rPr>
          <w:rFonts w:cs="David" w:hint="eastAsia"/>
          <w:color w:val="000000"/>
          <w:sz w:val="24"/>
          <w:szCs w:val="24"/>
          <w:rtl/>
        </w:rPr>
        <w:t>הורידוהו</w:t>
      </w:r>
      <w:r>
        <w:rPr>
          <w:rFonts w:cs="David"/>
          <w:color w:val="000000"/>
          <w:sz w:val="24"/>
          <w:szCs w:val="24"/>
          <w:rtl/>
        </w:rPr>
        <w:t xml:space="preserve"> מגדולתו אלא מינו אותו אב בית דין:</w:t>
      </w:r>
    </w:p>
    <w:p w:rsidR="000F4013" w:rsidRDefault="000F4013" w:rsidP="000F4013">
      <w:pPr>
        <w:bidi/>
        <w:spacing w:line="360" w:lineRule="auto"/>
        <w:rPr>
          <w:rtl/>
        </w:rPr>
      </w:pPr>
    </w:p>
    <w:p w:rsidR="001B12D8" w:rsidRDefault="001B12D8" w:rsidP="00A717E2"/>
    <w:sectPr w:rsidR="001B12D8">
      <w:pgSz w:w="11906" w:h="16838"/>
      <w:pgMar w:top="900" w:right="1800" w:bottom="10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13"/>
    <w:rsid w:val="000D03D7"/>
    <w:rsid w:val="000E5EC1"/>
    <w:rsid w:val="000F4013"/>
    <w:rsid w:val="001B12D8"/>
    <w:rsid w:val="003D389E"/>
    <w:rsid w:val="00474D97"/>
    <w:rsid w:val="006344DB"/>
    <w:rsid w:val="009E0114"/>
    <w:rsid w:val="00A717E2"/>
    <w:rsid w:val="00A82265"/>
    <w:rsid w:val="00AB224F"/>
    <w:rsid w:val="00B1443F"/>
    <w:rsid w:val="00C23AA5"/>
    <w:rsid w:val="00C41EF5"/>
    <w:rsid w:val="00DD59BD"/>
    <w:rsid w:val="00E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13"/>
    <w:pPr>
      <w:spacing w:after="0"/>
    </w:pPr>
    <w:rPr>
      <w:rFonts w:ascii="Times New Roman" w:eastAsia="Times New Roman" w:hAnsi="Times New Roman" w:cs="David"/>
      <w:sz w:val="24"/>
      <w:szCs w:val="24"/>
      <w:lang w:bidi="he-IL"/>
    </w:rPr>
  </w:style>
  <w:style w:type="paragraph" w:styleId="Heading2">
    <w:name w:val="heading 2"/>
    <w:basedOn w:val="Normal"/>
    <w:next w:val="Normal"/>
    <w:link w:val="Heading2Char"/>
    <w:qFormat/>
    <w:rsid w:val="000F4013"/>
    <w:pPr>
      <w:keepNext/>
      <w:bidi/>
      <w:outlineLvl w:val="1"/>
    </w:pPr>
    <w:rPr>
      <w:b/>
      <w:bCs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spacing w:after="200"/>
      <w:ind w:left="720" w:right="6570"/>
      <w:contextualSpacing/>
    </w:pPr>
    <w:rPr>
      <w:rFonts w:asciiTheme="minorHAnsi" w:eastAsiaTheme="minorHAnsi" w:hAnsiTheme="minorHAnsi" w:cstheme="minorBidi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0F4013"/>
    <w:rPr>
      <w:rFonts w:ascii="Times New Roman" w:eastAsia="Times New Roman" w:hAnsi="Times New Roman" w:cs="David"/>
      <w:b/>
      <w:bCs/>
      <w:sz w:val="24"/>
      <w:szCs w:val="24"/>
      <w:lang w:eastAsia="he-IL" w:bidi="he-IL"/>
    </w:rPr>
  </w:style>
  <w:style w:type="paragraph" w:styleId="NormalWeb">
    <w:name w:val="Normal (Web)"/>
    <w:basedOn w:val="Normal"/>
    <w:semiHidden/>
    <w:rsid w:val="000F4013"/>
    <w:pPr>
      <w:spacing w:before="100" w:beforeAutospacing="1" w:after="100" w:afterAutospacing="1"/>
      <w:jc w:val="both"/>
    </w:pPr>
    <w:rPr>
      <w:rFonts w:cs="Times New Roman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13"/>
    <w:pPr>
      <w:spacing w:after="0"/>
    </w:pPr>
    <w:rPr>
      <w:rFonts w:ascii="Times New Roman" w:eastAsia="Times New Roman" w:hAnsi="Times New Roman" w:cs="David"/>
      <w:sz w:val="24"/>
      <w:szCs w:val="24"/>
      <w:lang w:bidi="he-IL"/>
    </w:rPr>
  </w:style>
  <w:style w:type="paragraph" w:styleId="Heading2">
    <w:name w:val="heading 2"/>
    <w:basedOn w:val="Normal"/>
    <w:next w:val="Normal"/>
    <w:link w:val="Heading2Char"/>
    <w:qFormat/>
    <w:rsid w:val="000F4013"/>
    <w:pPr>
      <w:keepNext/>
      <w:bidi/>
      <w:outlineLvl w:val="1"/>
    </w:pPr>
    <w:rPr>
      <w:b/>
      <w:bCs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spacing w:after="200"/>
      <w:ind w:left="720" w:right="6570"/>
      <w:contextualSpacing/>
    </w:pPr>
    <w:rPr>
      <w:rFonts w:asciiTheme="minorHAnsi" w:eastAsiaTheme="minorHAnsi" w:hAnsiTheme="minorHAnsi" w:cstheme="minorBidi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rsid w:val="000F4013"/>
    <w:rPr>
      <w:rFonts w:ascii="Times New Roman" w:eastAsia="Times New Roman" w:hAnsi="Times New Roman" w:cs="David"/>
      <w:b/>
      <w:bCs/>
      <w:sz w:val="24"/>
      <w:szCs w:val="24"/>
      <w:lang w:eastAsia="he-IL" w:bidi="he-IL"/>
    </w:rPr>
  </w:style>
  <w:style w:type="paragraph" w:styleId="NormalWeb">
    <w:name w:val="Normal (Web)"/>
    <w:basedOn w:val="Normal"/>
    <w:semiHidden/>
    <w:rsid w:val="000F4013"/>
    <w:pPr>
      <w:spacing w:before="100" w:beforeAutospacing="1" w:after="100" w:afterAutospacing="1"/>
      <w:jc w:val="both"/>
    </w:pPr>
    <w:rPr>
      <w:rFonts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dcterms:created xsi:type="dcterms:W3CDTF">2012-08-29T17:58:00Z</dcterms:created>
  <dcterms:modified xsi:type="dcterms:W3CDTF">2012-08-29T17:58:00Z</dcterms:modified>
</cp:coreProperties>
</file>